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59"/>
        <w:jc w:val="center"/>
        <w:rPr/>
      </w:pPr>
      <w:r>
        <w:rPr>
          <w:rFonts w:cs="Times New Roman" w:ascii="Liberation Serif" w:hAnsi="Liberation Serif"/>
          <w:sz w:val="24"/>
          <w:szCs w:val="24"/>
        </w:rPr>
        <w:t xml:space="preserve"> </w:t>
      </w:r>
      <w:r>
        <w:rPr/>
        <w:drawing>
          <wp:inline distT="0" distB="0" distL="0" distR="0">
            <wp:extent cx="436245" cy="64135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59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59" w:before="0" w:after="0"/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spacing w:lineRule="auto" w:line="259" w:before="0" w:after="0"/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Свердловской области</w:t>
      </w:r>
    </w:p>
    <w:p>
      <w:pPr>
        <w:pStyle w:val="Normal"/>
        <w:spacing w:lineRule="auto" w:line="259" w:before="0" w:after="46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Liberation Serif" w:hAnsi="Liberation Serif"/>
          <w:b/>
          <w:bCs/>
          <w:sz w:val="32"/>
          <w:szCs w:val="32"/>
        </w:rPr>
        <w:t>П О С Т А Н О В Л Е Н И Е</w:t>
      </w:r>
    </w:p>
    <w:tbl>
      <w:tblPr>
        <w:tblW w:w="9749" w:type="dxa"/>
        <w:jc w:val="start"/>
        <w:tblInd w:w="-3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9749"/>
      </w:tblGrid>
      <w:tr>
        <w:trPr>
          <w:trHeight w:val="630" w:hRule="atLeast"/>
        </w:trPr>
        <w:tc>
          <w:tcPr>
            <w:tcW w:w="9749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</w:tabs>
              <w:bidi w:val="0"/>
              <w:spacing w:lineRule="auto" w:line="259" w:before="0" w:after="160"/>
              <w:ind w:hanging="0" w:start="-113" w:end="0"/>
              <w:jc w:val="both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от 19.12.2025                                            п.г.т. Тугулым                                                         № 85</w:t>
            </w:r>
            <w:r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</w:tr>
    </w:tbl>
    <w:p>
      <w:pPr>
        <w:pStyle w:val="Normal"/>
        <w:spacing w:before="0" w:after="0"/>
        <w:ind w:hanging="0" w:start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Об утверждении Программы профилактики рисков</w:t>
      </w:r>
    </w:p>
    <w:p>
      <w:pPr>
        <w:pStyle w:val="Normal"/>
        <w:spacing w:before="0" w:after="0"/>
        <w:ind w:hanging="0" w:start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 xml:space="preserve">причинения вреда (ущерба) охраняемым законом ценностям </w:t>
      </w:r>
    </w:p>
    <w:p>
      <w:pPr>
        <w:pStyle w:val="Normal"/>
        <w:spacing w:before="0" w:after="0"/>
        <w:ind w:hanging="0" w:start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по муниципальному </w:t>
      </w:r>
      <w:r>
        <w:rPr>
          <w:rFonts w:cs="Times New Roman" w:ascii="Liberation Serif" w:hAnsi="Liberation Serif"/>
          <w:b/>
          <w:sz w:val="24"/>
          <w:szCs w:val="24"/>
        </w:rPr>
        <w:t>лес</w:t>
      </w:r>
      <w:r>
        <w:rPr>
          <w:rFonts w:cs="Times New Roman" w:ascii="Liberation Serif" w:hAnsi="Liberation Serif"/>
          <w:b/>
          <w:sz w:val="24"/>
          <w:szCs w:val="24"/>
        </w:rPr>
        <w:t xml:space="preserve">ному контролю </w:t>
      </w:r>
    </w:p>
    <w:p>
      <w:pPr>
        <w:pStyle w:val="Normal"/>
        <w:spacing w:before="0" w:after="0"/>
        <w:ind w:hanging="0" w:start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на территории Тугулымского муниципального округа на 2026 год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В соответствии 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Думы Тугулымского муниципального округа от 10.09.2021 № 61 «Об утверждении Положения о муниципальном лесном контроле на территории Тугулымского муниципального округа» (изм. </w:t>
      </w:r>
      <w:r>
        <w:rPr>
          <w:rFonts w:cs="Times New Roman" w:ascii="Liberation Serif" w:hAnsi="Liberation Serif"/>
          <w:sz w:val="24"/>
          <w:szCs w:val="24"/>
        </w:rPr>
        <w:t>о</w:t>
      </w:r>
      <w:r>
        <w:rPr>
          <w:rFonts w:cs="Times New Roman" w:ascii="Liberation Serif" w:hAnsi="Liberation Serif"/>
          <w:sz w:val="24"/>
          <w:szCs w:val="24"/>
        </w:rPr>
        <w:t xml:space="preserve">т 27.06.2025 № 81), руководствуясь Уставом Тугулымского муниципального округа Свердловской области, </w:t>
      </w:r>
      <w:r>
        <w:rPr>
          <w:rFonts w:cs="Times New Roman" w:ascii="Liberation Serif" w:hAnsi="Liberation Serif"/>
          <w:sz w:val="24"/>
          <w:szCs w:val="24"/>
        </w:rPr>
        <w:t>администрация Тугулымского муниципального округа</w:t>
      </w:r>
    </w:p>
    <w:p>
      <w:pPr>
        <w:pStyle w:val="Normal"/>
        <w:spacing w:lineRule="auto" w:line="240"/>
        <w:ind w:hanging="0" w:start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ПОСТАНОВЛЯ</w:t>
      </w:r>
      <w:r>
        <w:rPr>
          <w:rFonts w:cs="Times New Roman" w:ascii="Liberation Serif" w:hAnsi="Liberation Serif"/>
          <w:b/>
          <w:sz w:val="24"/>
          <w:szCs w:val="24"/>
        </w:rPr>
        <w:t>ЕТ</w:t>
      </w:r>
      <w:r>
        <w:rPr>
          <w:rFonts w:cs="Times New Roman" w:ascii="Liberation Serif" w:hAnsi="Liberation Serif"/>
          <w:b/>
          <w:sz w:val="24"/>
          <w:szCs w:val="24"/>
        </w:rPr>
        <w:t>:</w:t>
      </w:r>
    </w:p>
    <w:p>
      <w:pPr>
        <w:pStyle w:val="Normal"/>
        <w:widowControl/>
        <w:bidi w:val="0"/>
        <w:spacing w:lineRule="auto" w:line="240" w:before="0" w:after="0"/>
        <w:ind w:hanging="0" w:start="0" w:end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1. Утвердить </w:t>
      </w:r>
      <w:r>
        <w:rPr>
          <w:rFonts w:cs="Times New Roman" w:ascii="Liberation Serif" w:hAnsi="Liberation Serif"/>
          <w:sz w:val="24"/>
          <w:szCs w:val="24"/>
        </w:rPr>
        <w:t>П</w:t>
      </w:r>
      <w:r>
        <w:rPr>
          <w:rFonts w:cs="Times New Roman" w:ascii="Liberation Serif" w:hAnsi="Liberation Serif"/>
          <w:sz w:val="24"/>
          <w:szCs w:val="24"/>
        </w:rPr>
        <w:t xml:space="preserve">рограмму профилактики рисков причинения вреда (ущерба) охраняемым законом ценностям при осуществлении муниципального лесного контроля на территории Тугулымского муниципального округа на 2026 год </w:t>
      </w:r>
      <w:r>
        <w:rPr>
          <w:rFonts w:cs="Times New Roman" w:ascii="Liberation Serif" w:hAnsi="Liberation Serif"/>
          <w:sz w:val="24"/>
          <w:szCs w:val="24"/>
        </w:rPr>
        <w:t>(прилагается)</w:t>
      </w:r>
      <w:r>
        <w:rPr>
          <w:rFonts w:cs="Times New Roman" w:ascii="Liberation Serif" w:hAnsi="Liberation Serif"/>
          <w:sz w:val="24"/>
          <w:szCs w:val="24"/>
        </w:rPr>
        <w:t xml:space="preserve">. </w:t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2.   Настоящее постановление вступает в силу с 01 января </w:t>
      </w:r>
      <w:r>
        <w:rPr>
          <w:rFonts w:cs="Times New Roman" w:ascii="Liberation Serif" w:hAnsi="Liberation Serif"/>
          <w:color w:val="000000"/>
          <w:sz w:val="24"/>
          <w:szCs w:val="24"/>
        </w:rPr>
        <w:t>2026 года.</w:t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3.  </w:t>
      </w:r>
      <w:r>
        <w:rPr>
          <w:rFonts w:cs="Times New Roman" w:ascii="Liberation Serif" w:hAnsi="Liberation Serif"/>
          <w:color w:val="000000"/>
          <w:sz w:val="24"/>
          <w:szCs w:val="24"/>
        </w:rPr>
        <w:t>Настоящее постановление опубликовать в специальном выпуске муниципальной общественно-политической газеты «Знамя труда» - «Муниципальный вестник», разместить на официальном сайте администрации Тугулымского муниципального округа.</w:t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4.  Контроль исполнения настоящего постановления возложить на заместителя главы Тугулымского муниципального округа Калунину М.О.</w:t>
      </w:r>
    </w:p>
    <w:p>
      <w:pPr>
        <w:pStyle w:val="Normal"/>
        <w:spacing w:lineRule="auto" w:line="24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Глава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Тугулымского муниципального округа                                                                  А.Н. Поздеев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Утверждена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постановлением администрации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</w:rPr>
        <w:t>от 19.12.2025 № 85</w:t>
      </w:r>
      <w:r>
        <w:rPr>
          <w:rFonts w:ascii="Liberation Serif" w:hAnsi="Liberation Serif"/>
        </w:rPr>
        <w:t>9</w:t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Программа профилактики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рисков причинения вреда (ущерба) охраняемым законом ценностям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по муниципальному лесному контролю </w:t>
      </w:r>
    </w:p>
    <w:p>
      <w:pPr>
        <w:pStyle w:val="Normal"/>
        <w:spacing w:lineRule="auto" w:line="24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на территории Тугулымского муниципального округа на 2026 год</w:t>
      </w:r>
    </w:p>
    <w:p>
      <w:pPr>
        <w:pStyle w:val="Normal"/>
        <w:spacing w:lineRule="auto" w:line="24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Раздел 1.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</w:t>
      </w:r>
    </w:p>
    <w:p>
      <w:pPr>
        <w:pStyle w:val="Normal"/>
        <w:spacing w:before="0" w:after="0"/>
        <w:ind w:start="-284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ab/>
        <w:t>1.1. Настоящая программа разработана в соответствии с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31 июля 2021 г. № 248-ФЗ «О государственном контроле (надзоре) и муниципальном контроле в Российской Федерации», постановлением Правительства Федерации от 25 июня 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лесного контроля.</w:t>
      </w:r>
    </w:p>
    <w:p>
      <w:pPr>
        <w:pStyle w:val="Normal"/>
        <w:spacing w:before="0" w:after="0"/>
        <w:ind w:start="-284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ab/>
        <w:tab/>
        <w:t xml:space="preserve">1.2. Программа профилактики рисков причинения вреда (ущерба) охраняемым законом ценностям по муниципальному лесному контролю (далее – Программа профилактики) направлена на предупреждение нарушений юридическими лицами, их руководителями и иными должностными лицами, индивидуальными предпринимателями, гражданами обязательных требований лесного законодательства и снижения рисков причинения вреда (ущерба) охраняемым законом ценностям, разъяснения подконтрольным субъектам обязательных требований лесного законодательства. </w:t>
      </w:r>
    </w:p>
    <w:p>
      <w:pPr>
        <w:pStyle w:val="Normal"/>
        <w:spacing w:lineRule="auto" w:line="240" w:before="0" w:after="0"/>
        <w:ind w:start="-284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ab/>
        <w:t xml:space="preserve">1.3. Муниципальный лесной контроль на территории Тугулымского муниципального округа осуществляется администрацией Тугулымского муниципального округа в лице отдела имущественных и земельных отношений администрации Тугулымского муниципального округа. </w:t>
      </w:r>
    </w:p>
    <w:p>
      <w:pPr>
        <w:pStyle w:val="Normal"/>
        <w:spacing w:lineRule="auto" w:line="240" w:before="0" w:after="0"/>
        <w:ind w:start="-284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ab/>
        <w:t>1.4. Объектами профилактических мероприятий при осуществлении муниципального лесного контроля являются юридические лица, индивидуальные предприниматели, граждане, осуществляющие свою деятельность в границах Тугулымского муниципального округа.</w:t>
      </w:r>
    </w:p>
    <w:p>
      <w:pPr>
        <w:pStyle w:val="Normal"/>
        <w:spacing w:lineRule="auto" w:line="240" w:before="0" w:after="0"/>
        <w:ind w:start="-284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ab/>
        <w:t xml:space="preserve">1.5. Предметом муниципального лесного контроля на территории Тугулымского муниципального округа являются: </w:t>
      </w:r>
    </w:p>
    <w:p>
      <w:pPr>
        <w:pStyle w:val="Normal"/>
        <w:spacing w:before="0" w:after="0"/>
        <w:ind w:start="-284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ab/>
        <w:t xml:space="preserve"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</w:r>
    </w:p>
    <w:p>
      <w:pPr>
        <w:pStyle w:val="Normal"/>
        <w:spacing w:before="0" w:after="0"/>
        <w:ind w:start="-284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ab/>
        <w:t xml:space="preserve">2) деятельность контролируемых лиц в сфере лесного хозяйства; </w:t>
      </w:r>
    </w:p>
    <w:p>
      <w:pPr>
        <w:pStyle w:val="Normal"/>
        <w:spacing w:before="0" w:after="0"/>
        <w:ind w:start="-284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ab/>
        <w:t xml:space="preserve">3) здания, помещения, сооружения, линейные объекты, земельные и лесные участки, оборудование, устройства, предметы, материалы, транспортные средства и другие объекты, расположенные на лесных участках, находящихся в муниципальной собственности, которыми граждане и организации владеют и (или) пользуются и к которым предъявляются обязательные требования (далее – производственные объекты). </w:t>
      </w:r>
    </w:p>
    <w:p>
      <w:pPr>
        <w:pStyle w:val="Normal"/>
        <w:spacing w:before="0" w:after="0"/>
        <w:ind w:start="-284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ab/>
        <w:t xml:space="preserve">1.6. Программа профилактики направлена на повышение эффективности предупреждения нарушений обязательных требований и повышение правовой грамотности контролируемых лиц. </w:t>
      </w:r>
    </w:p>
    <w:p>
      <w:pPr>
        <w:pStyle w:val="Normal"/>
        <w:spacing w:before="0" w:after="0"/>
        <w:ind w:start="-284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ab/>
        <w:t xml:space="preserve">1.7. Наиболее значимыми рисками в деятельности контролируемых лиц являются: </w:t>
      </w:r>
    </w:p>
    <w:p>
      <w:pPr>
        <w:pStyle w:val="Normal"/>
        <w:spacing w:before="0" w:after="0"/>
        <w:ind w:start="-284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ab/>
        <w:t xml:space="preserve">1) нарушение правил пожарной безопасности в лесах; </w:t>
      </w:r>
    </w:p>
    <w:p>
      <w:pPr>
        <w:pStyle w:val="Normal"/>
        <w:widowControl/>
        <w:bidi w:val="0"/>
        <w:spacing w:lineRule="auto" w:line="259" w:before="0" w:after="0"/>
        <w:ind w:hanging="0" w:start="0" w:end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2) нарушение правил санитарной безопасности в лесах; </w:t>
      </w:r>
    </w:p>
    <w:p>
      <w:pPr>
        <w:pStyle w:val="Normal"/>
        <w:spacing w:before="0" w:after="0"/>
        <w:ind w:start="-284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ab/>
        <w:t xml:space="preserve">3) незаконная рубка, повреждение лесных насаждений или самовольное выкапывание в лесах деревьев, кустарников; </w:t>
      </w:r>
    </w:p>
    <w:p>
      <w:pPr>
        <w:pStyle w:val="Normal"/>
        <w:spacing w:before="0" w:after="0"/>
        <w:ind w:star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Liberation Serif" w:hAnsi="Liberation Serif"/>
          <w:sz w:val="24"/>
          <w:szCs w:val="24"/>
        </w:rPr>
        <w:tab/>
        <w:t xml:space="preserve">4) нарушение правил тушения лесных пожаров; </w:t>
      </w:r>
    </w:p>
    <w:p>
      <w:pPr>
        <w:pStyle w:val="Normal"/>
        <w:spacing w:before="0" w:after="0"/>
        <w:ind w:start="-284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ab/>
        <w:t xml:space="preserve">5) нарушение правил осуществления мероприятий по предупреждению распространению вредных организмов; </w:t>
      </w:r>
    </w:p>
    <w:p>
      <w:pPr>
        <w:pStyle w:val="Normal"/>
        <w:spacing w:before="0" w:after="0"/>
        <w:ind w:start="-284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ab/>
        <w:t xml:space="preserve">6) нарушение правил заготовки пищевых лесных ресурсов и сбора лекарственных растений; </w:t>
      </w:r>
    </w:p>
    <w:p>
      <w:pPr>
        <w:pStyle w:val="Normal"/>
        <w:spacing w:before="0" w:after="0"/>
        <w:ind w:start="-284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ab/>
        <w:t>7) нарушение правил заготовки и сбора не древесных лесных ресурсов;</w:t>
      </w:r>
    </w:p>
    <w:p>
      <w:pPr>
        <w:pStyle w:val="Normal"/>
        <w:spacing w:before="0" w:after="0"/>
        <w:ind w:start="-284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ab/>
        <w:tab/>
        <w:t>8) нарушение порядка заготовки семян лесных растений.</w:t>
      </w:r>
    </w:p>
    <w:p>
      <w:pPr>
        <w:pStyle w:val="Normal"/>
        <w:ind w:start="-284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ab/>
        <w:tab/>
        <w:t>1.8. В 2025 году плановые и внеплановые проверки не проводились.</w:t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cs="Times New Roman" w:ascii="Liberation Serif" w:hAnsi="Liberation Serif"/>
          <w:b/>
          <w:sz w:val="24"/>
          <w:szCs w:val="24"/>
        </w:rPr>
        <w:t>Раздел 2. Цели и задачи реализации программы профилактики</w:t>
      </w:r>
    </w:p>
    <w:p>
      <w:pPr>
        <w:pStyle w:val="Normal"/>
        <w:spacing w:before="0" w:after="0"/>
        <w:ind w:start="-142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ab/>
        <w:t>2.1. Целями проведения профилактических мероприятий являются:</w:t>
      </w:r>
    </w:p>
    <w:p>
      <w:pPr>
        <w:pStyle w:val="Normal"/>
        <w:spacing w:before="0" w:after="0"/>
        <w:ind w:start="-142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ab/>
        <w:tab/>
        <w:t>- стимулирование добросовестного соблюдения обязательных требований контролируемыми лицами;</w:t>
      </w:r>
    </w:p>
    <w:p>
      <w:pPr>
        <w:pStyle w:val="Normal"/>
        <w:spacing w:before="0" w:after="0"/>
        <w:ind w:start="-142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ab/>
        <w:tab/>
        <w:t xml:space="preserve">- устранение условий, причин и факторов, способных привести к нарушениям обязательных требований и(или) причинению вреда (ущерба) охраняемым законом ценностям; </w:t>
      </w:r>
    </w:p>
    <w:p>
      <w:pPr>
        <w:pStyle w:val="Normal"/>
        <w:spacing w:before="0" w:after="0"/>
        <w:ind w:start="-142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ab/>
        <w:t xml:space="preserve">- создание условий для доведения обязательных требований до контролируемых лиц, повышение информированности о способах их соблюдения; </w:t>
      </w:r>
    </w:p>
    <w:p>
      <w:pPr>
        <w:pStyle w:val="Normal"/>
        <w:spacing w:before="0" w:after="0"/>
        <w:ind w:start="-142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снижение уровня ущерба, причиняемого охраняемым законом ценностям.</w:t>
      </w:r>
    </w:p>
    <w:p>
      <w:pPr>
        <w:pStyle w:val="Normal"/>
        <w:spacing w:before="0" w:after="0"/>
        <w:ind w:start="-142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ab/>
        <w:tab/>
        <w:t xml:space="preserve">2.2. Задачами профилактической работы являются: </w:t>
      </w:r>
    </w:p>
    <w:p>
      <w:pPr>
        <w:pStyle w:val="Normal"/>
        <w:spacing w:before="0" w:after="0"/>
        <w:ind w:start="-142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ab/>
        <w:t xml:space="preserve">- укрепление системы профилактики нарушений обязательных требований; </w:t>
      </w:r>
    </w:p>
    <w:p>
      <w:pPr>
        <w:pStyle w:val="Normal"/>
        <w:spacing w:before="0" w:after="0"/>
        <w:ind w:start="-142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ab/>
        <w:t xml:space="preserve">- выявление причин, факторов и условий, способствующих нарушениям обязательных требований, разработка мероприятий, направленных на устранение обязательных требований; </w:t>
      </w:r>
    </w:p>
    <w:p>
      <w:pPr>
        <w:pStyle w:val="Normal"/>
        <w:spacing w:before="0" w:after="0"/>
        <w:ind w:start="-142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ab/>
        <w:t>- повышение правосознания и правовой культуры юридических лиц, индивидуальных предпринимателей и граждан.</w:t>
      </w:r>
    </w:p>
    <w:p>
      <w:pPr>
        <w:pStyle w:val="Normal"/>
        <w:ind w:start="-142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                                                 </w:t>
      </w:r>
      <w:r>
        <w:rPr>
          <w:rFonts w:cs="Times New Roman" w:ascii="Liberation Serif" w:hAnsi="Liberation Serif"/>
          <w:sz w:val="24"/>
          <w:szCs w:val="24"/>
        </w:rPr>
        <w:t xml:space="preserve">Вi= Фi Пi </w:t>
      </w:r>
      <w:r>
        <w:rPr>
          <w:rFonts w:cs="Cambria Math" w:ascii="Liberation Serif" w:hAnsi="Liberation Serif"/>
          <w:sz w:val="24"/>
          <w:szCs w:val="24"/>
        </w:rPr>
        <w:t>∗</w:t>
      </w:r>
      <w:r>
        <w:rPr>
          <w:rFonts w:cs="Times New Roman" w:ascii="Liberation Serif" w:hAnsi="Liberation Serif"/>
          <w:sz w:val="24"/>
          <w:szCs w:val="24"/>
        </w:rPr>
        <w:t>100 %</w:t>
      </w:r>
    </w:p>
    <w:p>
      <w:pPr>
        <w:pStyle w:val="Normal"/>
        <w:spacing w:before="0" w:after="0"/>
        <w:ind w:start="-142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Раздел 3. Перечень профилактических мероприятий, </w:t>
      </w:r>
    </w:p>
    <w:p>
      <w:pPr>
        <w:pStyle w:val="Normal"/>
        <w:spacing w:before="0" w:after="0"/>
        <w:ind w:start="-142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сроки (периодичность) их проведениях </w:t>
      </w:r>
    </w:p>
    <w:p>
      <w:pPr>
        <w:pStyle w:val="Normal"/>
        <w:spacing w:before="0" w:after="0"/>
        <w:ind w:start="-142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>3.1. Перечень профилактических мероприятий:</w:t>
      </w:r>
    </w:p>
    <w:p>
      <w:pPr>
        <w:pStyle w:val="Normal"/>
        <w:tabs>
          <w:tab w:val="clear" w:pos="708"/>
          <w:tab w:val="left" w:pos="142" w:leader="none"/>
        </w:tabs>
        <w:spacing w:before="0" w:after="0"/>
        <w:ind w:start="142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1) информирование; </w:t>
      </w:r>
    </w:p>
    <w:p>
      <w:pPr>
        <w:pStyle w:val="Normal"/>
        <w:tabs>
          <w:tab w:val="clear" w:pos="708"/>
          <w:tab w:val="left" w:pos="142" w:leader="none"/>
        </w:tabs>
        <w:spacing w:before="0" w:after="0"/>
        <w:ind w:start="142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2) обобщение правоприменительной практики; </w:t>
      </w:r>
    </w:p>
    <w:p>
      <w:pPr>
        <w:pStyle w:val="Normal"/>
        <w:tabs>
          <w:tab w:val="clear" w:pos="708"/>
          <w:tab w:val="left" w:pos="142" w:leader="none"/>
        </w:tabs>
        <w:spacing w:before="0" w:after="0"/>
        <w:ind w:start="142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>3) объявление предостережения;</w:t>
      </w:r>
    </w:p>
    <w:p>
      <w:pPr>
        <w:pStyle w:val="Normal"/>
        <w:tabs>
          <w:tab w:val="clear" w:pos="708"/>
          <w:tab w:val="left" w:pos="142" w:leader="none"/>
        </w:tabs>
        <w:spacing w:before="0" w:after="0"/>
        <w:ind w:start="142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4) консультирование; </w:t>
      </w:r>
    </w:p>
    <w:p>
      <w:pPr>
        <w:pStyle w:val="Normal"/>
        <w:tabs>
          <w:tab w:val="clear" w:pos="708"/>
          <w:tab w:val="left" w:pos="142" w:leader="none"/>
        </w:tabs>
        <w:spacing w:before="0" w:after="0"/>
        <w:ind w:start="142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>5) профилактический визит.</w:t>
      </w:r>
    </w:p>
    <w:p>
      <w:pPr>
        <w:pStyle w:val="Normal"/>
        <w:tabs>
          <w:tab w:val="clear" w:pos="708"/>
          <w:tab w:val="left" w:pos="142" w:leader="none"/>
        </w:tabs>
        <w:spacing w:before="0" w:after="0"/>
        <w:ind w:hanging="0" w:start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tbl>
      <w:tblPr>
        <w:tblStyle w:val="a3"/>
        <w:tblW w:w="9345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479"/>
        <w:gridCol w:w="1501"/>
        <w:gridCol w:w="3969"/>
        <w:gridCol w:w="1641"/>
        <w:gridCol w:w="1755"/>
      </w:tblGrid>
      <w:tr>
        <w:trPr>
          <w:trHeight w:val="2310" w:hRule="atLeast"/>
        </w:trPr>
        <w:tc>
          <w:tcPr>
            <w:tcW w:w="4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№</w:t>
            </w:r>
          </w:p>
        </w:tc>
        <w:tc>
          <w:tcPr>
            <w:tcW w:w="15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Вид профилактических мероприятий</w:t>
            </w:r>
          </w:p>
        </w:tc>
        <w:tc>
          <w:tcPr>
            <w:tcW w:w="39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Что указывается в программе профилактики</w:t>
            </w:r>
          </w:p>
        </w:tc>
        <w:tc>
          <w:tcPr>
            <w:tcW w:w="164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Программное мероприятие в рамках вида профилактического мероприятия</w:t>
            </w:r>
          </w:p>
        </w:tc>
        <w:tc>
          <w:tcPr>
            <w:tcW w:w="17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Подразделение контрольного органа ответственного за реализацию</w:t>
            </w:r>
          </w:p>
        </w:tc>
      </w:tr>
    </w:tbl>
    <w:p>
      <w:pPr>
        <w:pStyle w:val="Normal"/>
        <w:jc w:val="center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Обязательные</w:t>
      </w:r>
    </w:p>
    <w:tbl>
      <w:tblPr>
        <w:tblStyle w:val="a3"/>
        <w:tblW w:w="9345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370"/>
        <w:gridCol w:w="2017"/>
        <w:gridCol w:w="3148"/>
        <w:gridCol w:w="1877"/>
        <w:gridCol w:w="1933"/>
      </w:tblGrid>
      <w:tr>
        <w:trPr/>
        <w:tc>
          <w:tcPr>
            <w:tcW w:w="3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20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Информирование </w:t>
            </w:r>
          </w:p>
        </w:tc>
        <w:tc>
          <w:tcPr>
            <w:tcW w:w="31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Информирование осуществляется путем размещения сведений по вопросам соблюдения обязательных требований,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предусмотренных частью 3 статьи 46 Федерального закона № 248-ФЗ на официальном сайте администрации Тугулымского муниципального округа в сети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«Интернет», в средствах массовой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информации и в иных формах.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Контрольный орган размещает и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поддерживает в актуальном состоянии на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своем официальном сайте в сети «Интернет» следующую информацию: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1) тексты нормативных правовых актов, регулирующих осуществление муниципального контроля;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2) сведения об изменениях, внесенных в нормативные правовые акты, регулирующие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осуществление муниципального контроля, о сроках и порядке их вступления в силу;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3) перечень нормативных правовых актов с указанием структурных единиц этих актов,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содержащих обязательные требования, оценка соблюдения которых является предметом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контроля, а также информацию о мерах ответственности, применяемых при нарушении обязательных требований, с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текстами в действующей редакции;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4) руководства по соблюдению обязательных требований, разработанные и утвержденные в соответствии с Федеральным законом «Об обязательных требованиях в Российской Федерации»;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5) перечень индикаторов риска нарушения обязательных требований, порядок отнесения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объектов контроля к категориям риска;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6) перечень объектов контроля, учитываемых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в рамках формирования ежегодного плана контрольных мероприятий, с указанием категории риска;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7) программу Профилактики и план проведения плановых контрольных мероприятий контрольным органом (при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проведении таких мероприятий);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8) исчерпывающий перечень сведений, которые могут запрашиваться контрольным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органом у контролируемого лица;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9) сведения о способах получения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консультаций по вопросам соблюдения обязательных требований;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10) сведения о применении контрольным органом мер стимулирования добросовестности контролируемых лиц;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11) сведения о порядке досудебного обжалования решений контрольного органа,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действий (бездействия) его должностных лиц;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12) доклады, содержащие результаты обобщения правоприменительной практики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контрольного органа;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13) доклады о муниципальном контроле;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14) иные сведения, предусмотренные нормативными правовыми актами Российской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Федерации, нормативными правовыми актами субъектов Российской Федерации, муниципальными правовыми актами и (или) программами профилактики рисков причиненного вреда.</w:t>
            </w:r>
          </w:p>
        </w:tc>
        <w:tc>
          <w:tcPr>
            <w:tcW w:w="18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В течении года</w:t>
            </w:r>
          </w:p>
        </w:tc>
        <w:tc>
          <w:tcPr>
            <w:tcW w:w="19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Должностные лица отдела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3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20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Консульти-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рование</w:t>
            </w:r>
          </w:p>
        </w:tc>
        <w:tc>
          <w:tcPr>
            <w:tcW w:w="31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Осуществляется по обращениям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контролируемых лиц и их представителей.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В ходе консультирования даются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разъяснения по вопросам, связанным с организацией и осуществлением муниципального лесного контроля.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Консультирование осуществляется без взимания платы. Консультирование может осуществляться должностными лицами по телефону, в письменной форме, посредством видео-конференц-связи, на личном приеме либо в ходе проведения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профилактического мероприятия, контрольного мероприятия.</w:t>
            </w:r>
          </w:p>
        </w:tc>
        <w:tc>
          <w:tcPr>
            <w:tcW w:w="18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В течение года (по мере необходимости)</w:t>
            </w:r>
          </w:p>
        </w:tc>
        <w:tc>
          <w:tcPr>
            <w:tcW w:w="19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Должностные лица отдела имущественных и земельных отношений администрации Тугулымского муниципального округа</w:t>
            </w:r>
          </w:p>
        </w:tc>
      </w:tr>
    </w:tbl>
    <w:p>
      <w:pPr>
        <w:pStyle w:val="Normal"/>
        <w:jc w:val="center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Необязательные</w:t>
      </w:r>
    </w:p>
    <w:tbl>
      <w:tblPr>
        <w:tblStyle w:val="a3"/>
        <w:tblW w:w="9345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352"/>
        <w:gridCol w:w="1519"/>
        <w:gridCol w:w="3022"/>
        <w:gridCol w:w="2519"/>
        <w:gridCol w:w="1933"/>
      </w:tblGrid>
      <w:tr>
        <w:trPr/>
        <w:tc>
          <w:tcPr>
            <w:tcW w:w="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15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Обобщение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правоприме-нительной практики</w:t>
            </w:r>
          </w:p>
        </w:tc>
        <w:tc>
          <w:tcPr>
            <w:tcW w:w="302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Осуществляется посредством подготовки контрольным органом ежегодного доклада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(далее – доклад о правоприменительной практике), который утверждается Главой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ТГО ежегодно до 1 апреля года,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следующего за отчетным, размещается на официальном сайте в сети Интернет</w:t>
            </w:r>
          </w:p>
        </w:tc>
        <w:tc>
          <w:tcPr>
            <w:tcW w:w="25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В течение года (по мере необходимости)</w:t>
            </w:r>
          </w:p>
        </w:tc>
        <w:tc>
          <w:tcPr>
            <w:tcW w:w="19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Должностные лица отдела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15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Объявление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предостере-жения</w:t>
            </w:r>
          </w:p>
        </w:tc>
        <w:tc>
          <w:tcPr>
            <w:tcW w:w="302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Предостережение о недопустимости нарушения обязательных требований с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предложением принять меры по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обеспечению соблюдения обязательных требований объявляется контролируемому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лицу при наличии у должностного лица сведений о готовящихся или возможных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нарушениях обязательных требований, а также о непосредственных нарушениях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обязательных требований, если указанные сведения не соответствуют утвержденным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индикаторам риска нарушения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обязательных требований.</w:t>
            </w:r>
          </w:p>
        </w:tc>
        <w:tc>
          <w:tcPr>
            <w:tcW w:w="25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В течение года (по мере необходимости)</w:t>
            </w:r>
          </w:p>
        </w:tc>
        <w:tc>
          <w:tcPr>
            <w:tcW w:w="19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Должностные лица отдела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3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5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Профилак-тический визит</w:t>
            </w:r>
          </w:p>
        </w:tc>
        <w:tc>
          <w:tcPr>
            <w:tcW w:w="302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1)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 В ходе профилактического визита контролируемое лицо информируется о его полномочиях, а также об особенностях организации и осуществления муниципального контроля, проводимого в отношении объекта контроля.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2) Профилактический визит: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профилактический визит по инициативе контрольного органа (обязательный профилактический визит);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3). профилактический визит по инициативе контролируемого лица. Профилактический визит проводится в порядке и объеме, определенном статьей 52 Закона № 248-ФЗ.</w:t>
            </w:r>
          </w:p>
        </w:tc>
        <w:tc>
          <w:tcPr>
            <w:tcW w:w="25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В течение года (по мере необходимости)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(по заявлению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контролируемого лица,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если такое лицо относится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к субъектам малого предпринимательства,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является социально ориентированной некоммерческой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организацией либо государственным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 xml:space="preserve">или муниципальным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учреждением)</w:t>
            </w:r>
          </w:p>
        </w:tc>
        <w:tc>
          <w:tcPr>
            <w:tcW w:w="19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Должностные лица отдела имущественных и земельных отношений администрации Тугулымского муниципального округа</w:t>
            </w:r>
          </w:p>
        </w:tc>
      </w:tr>
    </w:tbl>
    <w:p>
      <w:pPr>
        <w:pStyle w:val="Normal"/>
        <w:spacing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Раздел 4. Показатели результативности и эффективности программы</w:t>
      </w:r>
    </w:p>
    <w:p>
      <w:pPr>
        <w:pStyle w:val="Normal"/>
        <w:spacing w:before="0" w:after="0"/>
        <w:jc w:val="center"/>
        <w:rPr>
          <w:rFonts w:ascii="Liberation Serif" w:hAnsi="Liberation Serif"/>
        </w:rPr>
      </w:pPr>
      <w:r>
        <w:rPr>
          <w:rFonts w:cs="Times New Roman" w:ascii="Liberation Serif" w:hAnsi="Liberation Serif"/>
          <w:b/>
          <w:sz w:val="24"/>
          <w:szCs w:val="24"/>
        </w:rPr>
        <w:t>профилактики</w:t>
      </w:r>
    </w:p>
    <w:p>
      <w:pPr>
        <w:pStyle w:val="Normal"/>
        <w:spacing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tbl>
      <w:tblPr>
        <w:tblW w:w="9356" w:type="dxa"/>
        <w:jc w:val="start"/>
        <w:tblInd w:w="-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6075"/>
        <w:gridCol w:w="3281"/>
      </w:tblGrid>
      <w:tr>
        <w:trPr>
          <w:trHeight w:val="20" w:hRule="atLeast"/>
        </w:trPr>
        <w:tc>
          <w:tcPr>
            <w:tcW w:w="6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Исполнение показателя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в 2026 году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(%)</w:t>
            </w:r>
          </w:p>
        </w:tc>
      </w:tr>
      <w:tr>
        <w:trPr>
          <w:trHeight w:val="20" w:hRule="atLeast"/>
        </w:trPr>
        <w:tc>
          <w:tcPr>
            <w:tcW w:w="6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Полнота информации, размещенной на официальном сайте                            в соответствии со статьей 46 Федерального закона №248-ФЗ</w:t>
            </w:r>
          </w:p>
        </w:tc>
        <w:tc>
          <w:tcPr>
            <w:tcW w:w="32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</w:tr>
      <w:tr>
        <w:trPr>
          <w:trHeight w:val="20" w:hRule="atLeast"/>
        </w:trPr>
        <w:tc>
          <w:tcPr>
            <w:tcW w:w="6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контролируемых лиц, удовлетворенных консультированием,          в общем количестве контролируемых лиц, обратившихся                               за консультацией</w:t>
            </w:r>
          </w:p>
        </w:tc>
        <w:tc>
          <w:tcPr>
            <w:tcW w:w="32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</w:tr>
    </w:tbl>
    <w:p>
      <w:pPr>
        <w:pStyle w:val="Normal"/>
        <w:spacing w:before="0" w:after="0"/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type w:val="nextPage"/>
      <w:pgSz w:w="11906" w:h="16838"/>
      <w:pgMar w:left="1380" w:right="850" w:gutter="0" w:header="0" w:top="645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7e7fe0"/>
    <w:rPr>
      <w:rFonts w:ascii="Segoe UI" w:hAnsi="Segoe UI" w:cs="Segoe UI"/>
      <w:sz w:val="18"/>
      <w:szCs w:val="18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Noto Sans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7e7fe0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0329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LibreOffice/25.8.2.2$Linux_X86_64 LibreOffice_project/d401f2107ccab8f924a8e2df40f573aab7605b6f</Application>
  <AppVersion>15.0000</AppVersion>
  <Pages>8</Pages>
  <Words>1460</Words>
  <Characters>11373</Characters>
  <CharactersWithSpaces>13060</CharactersWithSpaces>
  <Paragraphs>167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2025-12-22T09:22:00Z</dcterms:created>
  <dc:creator>Пользователь</dc:creator>
  <dc:description/>
  <dc:language>ru-RU</dc:language>
  <cp:lastModifiedBy/>
  <cp:lastPrinted>2025-12-22T09:20:00Z</cp:lastPrinted>
  <dcterms:modified xsi:type="dcterms:W3CDTF">2025-12-23T11:04:55Z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